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运行说明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运行前请先以管理员身份运行RegCAD_Ocx.exe</w:t>
      </w:r>
    </w:p>
    <w:p>
      <w:pP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源码网址：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instrText xml:space="preserve"> HYPERLINK "http://www.ucancode.com" </w:instrTex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fldChar w:fldCharType="separate"/>
      </w:r>
      <w:r>
        <w:rPr>
          <w:rStyle w:val="3"/>
          <w:rFonts w:hint="eastAsia" w:ascii="微软雅黑" w:hAnsi="微软雅黑" w:eastAsia="微软雅黑" w:cs="微软雅黑"/>
          <w:sz w:val="44"/>
          <w:szCs w:val="44"/>
          <w:lang w:val="en-US" w:eastAsia="zh-CN"/>
        </w:rPr>
        <w:t>http://www.ucancode.com</w:t>
      </w: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44"/>
          <w:lang w:val="en-US" w:eastAsia="zh-CN"/>
        </w:rPr>
        <w:t>技术支持qq: 484878770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421605"/>
    <w:rsid w:val="742E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Think</cp:lastModifiedBy>
  <dcterms:modified xsi:type="dcterms:W3CDTF">2018-03-15T07:26:01Z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